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center"/>
        <w:rPr>
          <w:sz w:val="36"/>
          <w:szCs w:val="36"/>
        </w:rPr>
      </w:pPr>
      <w:r>
        <w:rPr>
          <w:sz w:val="36"/>
          <w:szCs w:val="36"/>
        </w:rPr>
        <w:t>Výroční zpráva</w:t>
      </w:r>
    </w:p>
    <w:p>
      <w:pPr>
        <w:pStyle w:val="Tlotextu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školní rok 2020/2021</w:t>
      </w:r>
    </w:p>
    <w:p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Základní škola a mateřská škola Brno, Vedlejší 10, </w:t>
      </w:r>
    </w:p>
    <w:p>
      <w:pPr>
        <w:pStyle w:val="Nadpis1"/>
        <w:rPr>
          <w:sz w:val="36"/>
          <w:szCs w:val="36"/>
        </w:rPr>
      </w:pPr>
      <w:r>
        <w:rPr>
          <w:sz w:val="36"/>
          <w:szCs w:val="36"/>
        </w:rPr>
        <w:t>příspěvková organizace</w:t>
      </w:r>
    </w:p>
    <w:p>
      <w:pPr>
        <w:pStyle w:val="Normal"/>
        <w:jc w:val="center"/>
        <w:rPr>
          <w:sz w:val="36"/>
          <w:szCs w:val="36"/>
        </w:rPr>
      </w:pPr>
      <w:r>
        <w:rPr/>
        <w:drawing>
          <wp:inline distT="0" distB="0" distL="0" distR="0">
            <wp:extent cx="4474845" cy="433451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adpis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1.0 Základní charakteristika školy: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 Název právnické osoby vykonávající činnost školy: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Základní škola a mateřská škola Brno, Vedlejší 10, 625 00 Brno-Bohunice, příspěvková organizace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 Zřizovatel školy: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Základní škola a mateřská škola Brno, Vedlejší 10, 625 00 Brno-Bohunice, příspěvková organizace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1.3 Ředitel školy</w:t>
      </w:r>
      <w:r>
        <w:rPr>
          <w:sz w:val="24"/>
          <w:szCs w:val="24"/>
        </w:rPr>
        <w:t>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RNDr. Jan Harmata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 Druh školy včetně všech školských zařízení a jejich kapacity:</w:t>
      </w:r>
      <w:r>
        <w:rPr>
          <w:sz w:val="24"/>
          <w:szCs w:val="24"/>
        </w:rPr>
        <w:tab/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Základní škola (810), školní družina (240), školní jídelna (1400)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 Kontakty: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telefon:</w:t>
        <w:tab/>
        <w:t>547 218 198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fax:   </w:t>
        <w:tab/>
        <w:tab/>
        <w:t>547 218 198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e-mail: </w:t>
        <w:tab/>
        <w:t>info@zsvedlejsi.cz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http: </w:t>
        <w:tab/>
        <w:tab/>
      </w:r>
      <w:hyperlink r:id="rId3">
        <w:r>
          <w:rPr>
            <w:rStyle w:val="Internetovodkaz"/>
            <w:sz w:val="24"/>
            <w:szCs w:val="24"/>
          </w:rPr>
          <w:t>http://zsvedlejsi.cz/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Poznmkapodarou"/>
        <w:rPr>
          <w:sz w:val="24"/>
          <w:szCs w:val="24"/>
        </w:rPr>
      </w:pPr>
      <w:r>
        <w:rPr>
          <w:rStyle w:val="Nadpis4Char"/>
          <w:sz w:val="24"/>
          <w:szCs w:val="24"/>
        </w:rPr>
        <w:t>1.6 Úplná/neúplná škola</w:t>
      </w:r>
      <w:r>
        <w:rPr>
          <w:sz w:val="24"/>
          <w:szCs w:val="24"/>
        </w:rPr>
        <w:t xml:space="preserve"> </w:t>
      </w:r>
    </w:p>
    <w:tbl>
      <w:tblPr>
        <w:tblW w:w="985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3"/>
        <w:gridCol w:w="851"/>
        <w:gridCol w:w="992"/>
        <w:gridCol w:w="992"/>
        <w:gridCol w:w="992"/>
        <w:gridCol w:w="1134"/>
        <w:gridCol w:w="1559"/>
        <w:gridCol w:w="1416"/>
      </w:tblGrid>
      <w:tr>
        <w:trPr>
          <w:trHeight w:val="522" w:hRule="atLeast"/>
          <w:cantSplit w:val="true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tříd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340" w:hanging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340" w:hanging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340" w:hanging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  <w:p>
            <w:pPr>
              <w:pStyle w:val="Normal"/>
              <w:widowControl w:val="false"/>
              <w:ind w:left="340" w:hanging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Průměrný počet 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žáků na třídu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Kapacita </w:t>
            </w:r>
          </w:p>
        </w:tc>
      </w:tr>
      <w:tr>
        <w:trPr>
          <w:trHeight w:val="403" w:hRule="atLeast"/>
        </w:trPr>
        <w:tc>
          <w:tcPr>
            <w:tcW w:w="19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stupeň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23,47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9" w:hRule="atLeas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stupeň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dpis1"/>
              <w:widowControl w:val="false"/>
              <w:spacing w:before="120" w:after="12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Celkem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>
      <w:pPr>
        <w:pStyle w:val="Normal"/>
        <w:ind w:firstLine="3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40" w:hanging="3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1.7 Školská rada </w:t>
      </w:r>
      <w:r>
        <w:rPr>
          <w:sz w:val="24"/>
          <w:szCs w:val="24"/>
        </w:rPr>
        <w:t xml:space="preserve">(§ 167, 168 zákona č. 561/2004 Sb.)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Datum zřízení:</w:t>
        <w:tab/>
        <w:t>01. 01. 2006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Členové ŠR:</w:t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za zřizovatele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p. Antonín Brzobohatý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p. Petra Pejčochová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p. Miroslava Pospíšilová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 pedagogické pracovníky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p. Lenka Demelová, předseda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p. Renata Srncová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p. Bohumíra Vlková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za zákonné zástupce žáků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p. Eva Šmahlíková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p. Andrea Martinů</w:t>
      </w:r>
    </w:p>
    <w:p>
      <w:pPr>
        <w:pStyle w:val="Normal"/>
        <w:ind w:left="340" w:hanging="340"/>
        <w:rPr>
          <w:sz w:val="24"/>
          <w:szCs w:val="24"/>
        </w:rPr>
      </w:pPr>
      <w:r>
        <w:rPr>
          <w:sz w:val="24"/>
          <w:szCs w:val="24"/>
        </w:rPr>
        <w:t xml:space="preserve">p. Martina Cahová </w:t>
      </w: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adpis4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Školní vzdělávací program: </w:t>
      </w:r>
    </w:p>
    <w:p>
      <w:pPr>
        <w:pStyle w:val="Normal"/>
        <w:rPr/>
      </w:pPr>
      <w:r>
        <w:rPr/>
      </w:r>
    </w:p>
    <w:tbl>
      <w:tblPr>
        <w:tblW w:w="871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14"/>
        <w:gridCol w:w="1702"/>
        <w:gridCol w:w="1701"/>
      </w:tblGrid>
      <w:tr>
        <w:trPr/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vzdělávacích programů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jednací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</w:t>
            </w:r>
          </w:p>
        </w:tc>
      </w:tr>
      <w:tr>
        <w:trPr/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Školní vzdělávací program pro základní vzdělávání „Z ulice Vedlejší do hlavního proudu života“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– 9. ročník </w:t>
            </w:r>
          </w:p>
        </w:tc>
      </w:tr>
      <w:tr>
        <w:trPr>
          <w:trHeight w:val="834" w:hRule="atLeast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Školní vzdělávací program vycházející z RVP pro základní vzdělávání s přílohou upravující vzdělávání žáků s LMD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žák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ročník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Jiné specializace, zaměření: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Škola je zaměřena na výuku předmětu Taneční a pohybová výchova, na rozsáhlou nabídku volnočasových aktivit a na podporu žáků s poruchami učení. </w:t>
      </w:r>
    </w:p>
    <w:p>
      <w:pPr>
        <w:pStyle w:val="Nadpis4"/>
        <w:spacing w:before="20" w:after="60"/>
        <w:rPr>
          <w:color w:val="FF0000"/>
          <w:sz w:val="24"/>
          <w:szCs w:val="24"/>
        </w:rPr>
      </w:pPr>
      <w:r>
        <w:rPr>
          <w:sz w:val="24"/>
          <w:szCs w:val="24"/>
        </w:rPr>
        <w:t>1.9 Zařízení školního stravování</w:t>
      </w:r>
    </w:p>
    <w:tbl>
      <w:tblPr>
        <w:tblW w:w="8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50"/>
        <w:gridCol w:w="726"/>
        <w:gridCol w:w="1098"/>
        <w:gridCol w:w="2977"/>
        <w:gridCol w:w="977"/>
      </w:tblGrid>
      <w:tr>
        <w:trPr>
          <w:cantSplit w:val="true"/>
        </w:trPr>
        <w:tc>
          <w:tcPr>
            <w:tcW w:w="3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Typ jídelny- dle výkazu Z  17-01</w:t>
            </w:r>
          </w:p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317" w:hanging="3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</w:t>
            </w:r>
          </w:p>
        </w:tc>
        <w:tc>
          <w:tcPr>
            <w:tcW w:w="505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strávníků</w:t>
            </w:r>
          </w:p>
        </w:tc>
      </w:tr>
      <w:tr>
        <w:trPr>
          <w:cantSplit w:val="true"/>
        </w:trPr>
        <w:tc>
          <w:tcPr>
            <w:tcW w:w="30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726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děti  </w:t>
              <w:br/>
              <w:t xml:space="preserve">a žáci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zaměstnanci školy a vlastní důchodci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ostatní*</w:t>
            </w:r>
          </w:p>
        </w:tc>
      </w:tr>
      <w:tr>
        <w:trPr/>
        <w:tc>
          <w:tcPr>
            <w:tcW w:w="3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ŠJ úplná 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0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655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 Ostatní – ostatní důchodci, zaměstnanci jiných škol, zaměstnanci jiných zaměstnavatelů (firmy)</w:t>
      </w:r>
    </w:p>
    <w:p>
      <w:pPr>
        <w:pStyle w:val="Nadpis4"/>
        <w:spacing w:before="20" w:after="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4"/>
        <w:spacing w:before="20" w:after="60"/>
        <w:rPr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1.10 Počet pracovníků školního stravování </w:t>
      </w:r>
      <w:r>
        <w:rPr/>
        <w:t>(k datu):</w:t>
      </w:r>
    </w:p>
    <w:tbl>
      <w:tblPr>
        <w:tblW w:w="80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3439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Fyzické osoby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Přepočtení na plně zaměstnané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4"/>
        <w:spacing w:before="20" w:after="60"/>
        <w:rPr>
          <w:sz w:val="24"/>
          <w:szCs w:val="24"/>
        </w:rPr>
      </w:pPr>
      <w:r>
        <w:rPr>
          <w:sz w:val="24"/>
          <w:szCs w:val="24"/>
        </w:rPr>
        <w:t>1.11 Školní družina, která je součástí základní školy </w:t>
      </w:r>
    </w:p>
    <w:tbl>
      <w:tblPr>
        <w:tblW w:w="843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91"/>
        <w:gridCol w:w="1387"/>
        <w:gridCol w:w="1701"/>
        <w:gridCol w:w="2553"/>
        <w:gridCol w:w="1702"/>
      </w:tblGrid>
      <w:tr>
        <w:trPr/>
        <w:tc>
          <w:tcPr>
            <w:tcW w:w="1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ŠD</w:t>
            </w:r>
          </w:p>
        </w:tc>
        <w:tc>
          <w:tcPr>
            <w:tcW w:w="13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oddělení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dětí 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vychovatelů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kapacita</w:t>
            </w:r>
          </w:p>
        </w:tc>
      </w:tr>
      <w:tr>
        <w:trPr/>
        <w:tc>
          <w:tcPr>
            <w:tcW w:w="1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fyz.</w:t>
              <w:tab/>
              <w:t xml:space="preserve">  8</w:t>
              <w:tab/>
              <w:tab/>
              <w:t>/ přepoč.  5,8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 činnosti ŠD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Projektové dny – LÉTAJÍCÍ BARVY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4"/>
        <w:spacing w:before="20" w:after="60"/>
        <w:rPr>
          <w:sz w:val="24"/>
          <w:szCs w:val="24"/>
        </w:rPr>
      </w:pPr>
      <w:r>
        <w:rPr>
          <w:sz w:val="24"/>
          <w:szCs w:val="24"/>
        </w:rPr>
        <w:t>1.12 Školní klub, který je součástí školy</w:t>
      </w:r>
    </w:p>
    <w:tbl>
      <w:tblPr>
        <w:tblW w:w="843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01"/>
        <w:gridCol w:w="1540"/>
        <w:gridCol w:w="1386"/>
        <w:gridCol w:w="2492"/>
        <w:gridCol w:w="1715"/>
      </w:tblGrid>
      <w:tr>
        <w:trPr/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oddělení 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dětí </w:t>
            </w:r>
          </w:p>
        </w:tc>
        <w:tc>
          <w:tcPr>
            <w:tcW w:w="24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vychovatelů 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kapacita</w:t>
            </w:r>
          </w:p>
        </w:tc>
      </w:tr>
      <w:tr>
        <w:trPr/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4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 činnosti ŠK:</w:t>
      </w:r>
    </w:p>
    <w:p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dpis3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2.0 Údaje o pracovnících školy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4"/>
        <w:numPr>
          <w:ilvl w:val="1"/>
          <w:numId w:val="1"/>
        </w:numPr>
        <w:spacing w:before="20" w:after="60"/>
        <w:rPr>
          <w:sz w:val="24"/>
          <w:szCs w:val="24"/>
        </w:rPr>
      </w:pPr>
      <w:r>
        <w:rPr>
          <w:sz w:val="24"/>
          <w:szCs w:val="24"/>
        </w:rPr>
        <w:t xml:space="preserve">Odborná kvalifikace </w:t>
      </w:r>
      <w:r>
        <w:rPr>
          <w:b w:val="false"/>
          <w:bCs w:val="false"/>
          <w:sz w:val="24"/>
          <w:szCs w:val="24"/>
        </w:rPr>
        <w:t>(dle zákona č. 563/2004 Sb.)</w:t>
      </w:r>
    </w:p>
    <w:tbl>
      <w:tblPr>
        <w:tblW w:w="74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07"/>
        <w:gridCol w:w="2103"/>
        <w:gridCol w:w="1132"/>
      </w:tblGrid>
      <w:tr>
        <w:trPr>
          <w:trHeight w:val="270" w:hRule="atLeast"/>
          <w:cantSplit w:val="true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pat"/>
              <w:widowControl w:val="fals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Přepočtený / fyzický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270" w:hRule="atLeast"/>
          <w:cantSplit w:val="true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počet pedagogických pracovníků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Zpat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64,63/80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100/100</w:t>
            </w:r>
          </w:p>
        </w:tc>
      </w:tr>
      <w:tr>
        <w:trPr>
          <w:trHeight w:val="270" w:hRule="atLeast"/>
          <w:cantSplit w:val="true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toho odborně kvalifikovaných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Zpat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61,33/75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93/100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40" w:hanging="340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2.1.1  Počet absolventů s odbornou kvalifikací, kteří ve školním roce nastoupili do školy:</w:t>
      </w:r>
      <w:r>
        <w:rPr>
          <w:b/>
          <w:bCs/>
          <w:sz w:val="24"/>
          <w:szCs w:val="24"/>
        </w:rPr>
        <w:t xml:space="preserve"> 4</w:t>
      </w:r>
      <w:r>
        <w:rPr>
          <w:bCs/>
          <w:sz w:val="24"/>
          <w:szCs w:val="24"/>
        </w:rPr>
        <w:t xml:space="preserve"> </w:t>
      </w:r>
    </w:p>
    <w:p>
      <w:pPr>
        <w:pStyle w:val="BodyTextIndent2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2.1.2  Počet učitelů s odbornou kvalifikací, kteří ve školním roce nastoupili do školy: </w:t>
      </w:r>
      <w:r>
        <w:rPr>
          <w:b/>
          <w:sz w:val="24"/>
          <w:szCs w:val="24"/>
        </w:rPr>
        <w:t>24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2.1.3  Počet učitelů s odbornou kvalifikací, kteří ve školním roce odešli ze školy:</w:t>
      </w:r>
      <w:r>
        <w:rPr>
          <w:b/>
          <w:sz w:val="24"/>
          <w:szCs w:val="24"/>
        </w:rPr>
        <w:t xml:space="preserve"> 9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3"/>
        <w:rPr>
          <w:b/>
          <w:b/>
          <w:sz w:val="24"/>
          <w:szCs w:val="24"/>
        </w:rPr>
      </w:pPr>
      <w:r>
        <w:rPr>
          <w:sz w:val="24"/>
          <w:szCs w:val="24"/>
        </w:rPr>
        <w:t>2.1.4  Nepedagogičtí pracovníci  - počet: 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4"/>
        <w:spacing w:before="20" w:after="60"/>
        <w:rPr>
          <w:sz w:val="24"/>
          <w:szCs w:val="24"/>
        </w:rPr>
      </w:pPr>
      <w:r>
        <w:rPr>
          <w:sz w:val="24"/>
          <w:szCs w:val="24"/>
        </w:rPr>
        <w:t>2.2 Věkové složení učitelů</w:t>
      </w:r>
    </w:p>
    <w:tbl>
      <w:tblPr>
        <w:tblW w:w="843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23"/>
        <w:gridCol w:w="1983"/>
        <w:gridCol w:w="2128"/>
      </w:tblGrid>
      <w:tr>
        <w:trPr>
          <w:trHeight w:val="248" w:hRule="atLeast"/>
          <w:cantSplit w:val="true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Věk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Učitelé</w:t>
            </w:r>
          </w:p>
        </w:tc>
      </w:tr>
      <w:tr>
        <w:trPr>
          <w:trHeight w:val="235" w:hRule="atLeast"/>
          <w:cantSplit w:val="true"/>
        </w:trPr>
        <w:tc>
          <w:tcPr>
            <w:tcW w:w="4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Muži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Ženy</w:t>
            </w:r>
          </w:p>
        </w:tc>
      </w:tr>
      <w:tr>
        <w:trPr>
          <w:trHeight w:val="235" w:hRule="atLeast"/>
          <w:cantSplit w:val="true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do 35 let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>
        <w:trPr>
          <w:trHeight w:val="235" w:hRule="atLeast"/>
          <w:cantSplit w:val="true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36-50 let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>
        <w:trPr>
          <w:trHeight w:val="235" w:hRule="atLeast"/>
          <w:cantSplit w:val="true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 a více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>
        <w:trPr>
          <w:trHeight w:val="238" w:hRule="atLeast"/>
          <w:cantSplit w:val="true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Pracující důchodci nepobírající důchod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>
          <w:trHeight w:val="256" w:hRule="atLeast"/>
          <w:cantSplit w:val="true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Pracující důchodci pobírající důchod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>
        <w:trPr>
          <w:trHeight w:val="235" w:hRule="atLeast"/>
          <w:cantSplit w:val="true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</w:tr>
      <w:tr>
        <w:trPr>
          <w:trHeight w:val="235" w:hRule="atLeast"/>
          <w:cantSplit w:val="true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Rodičovská dovolená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Školní asistenti</w:t>
      </w:r>
    </w:p>
    <w:p>
      <w:pPr>
        <w:pStyle w:val="Normal"/>
        <w:ind w:left="420" w:hanging="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Počet celkem (přepočtený/fyzický): 19/9,55         </w:t>
      </w:r>
    </w:p>
    <w:p>
      <w:pPr>
        <w:pStyle w:val="Normal"/>
        <w:ind w:left="42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 toho  a) asistent pedagoga: 17/7,55</w:t>
        <w:tab/>
      </w:r>
    </w:p>
    <w:p>
      <w:pPr>
        <w:pStyle w:val="Normal"/>
        <w:ind w:left="420" w:hanging="0"/>
        <w:rPr>
          <w:sz w:val="24"/>
          <w:szCs w:val="24"/>
        </w:rPr>
      </w:pPr>
      <w:r>
        <w:rPr>
          <w:sz w:val="24"/>
          <w:szCs w:val="24"/>
        </w:rPr>
        <w:tab/>
        <w:t xml:space="preserve">       b) osobní asistent: 0</w:t>
      </w:r>
    </w:p>
    <w:p>
      <w:pPr>
        <w:pStyle w:val="Normal"/>
        <w:ind w:left="420" w:hanging="0"/>
        <w:rPr>
          <w:sz w:val="24"/>
          <w:szCs w:val="24"/>
        </w:rPr>
      </w:pPr>
      <w:r>
        <w:rPr>
          <w:sz w:val="24"/>
          <w:szCs w:val="24"/>
        </w:rPr>
        <w:tab/>
        <w:t xml:space="preserve">       c) školní asistent: 2/2</w:t>
      </w:r>
    </w:p>
    <w:p>
      <w:pPr>
        <w:pStyle w:val="Normal"/>
        <w:ind w:left="420" w:hanging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d) mentor:   0</w:t>
      </w:r>
    </w:p>
    <w:p>
      <w:pPr>
        <w:pStyle w:val="Normal"/>
        <w:ind w:left="420" w:hanging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ind w:left="420" w:hanging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adpis4"/>
        <w:spacing w:before="20" w:after="60"/>
        <w:rPr>
          <w:sz w:val="24"/>
          <w:szCs w:val="24"/>
        </w:rPr>
      </w:pPr>
      <w:r>
        <w:rPr>
          <w:sz w:val="24"/>
          <w:szCs w:val="24"/>
        </w:rPr>
        <w:t xml:space="preserve">2.4 Údaje o dalším vzdělávání pedagogických pracovníků včetně řídících pracovníků školy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7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56"/>
        <w:gridCol w:w="1983"/>
      </w:tblGrid>
      <w:tr>
        <w:trPr/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Typ kurzu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zúčastněných pracovníků</w:t>
            </w:r>
          </w:p>
        </w:tc>
      </w:tr>
      <w:tr>
        <w:trPr/>
        <w:tc>
          <w:tcPr>
            <w:tcW w:w="3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Zdravotní, BOZP, PO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>
        <w:trPr/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pat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Přírodní vědy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/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pat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Práce s talenty, projektová výuka, poradenství, spolupráce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>
        <w:trPr/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pat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Inkluze do škol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pat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Prevence násilí, subkultury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>
        <w:trPr/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Zpat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Různé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rPr/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dpis6"/>
              <w:widowControl w:val="false"/>
              <w:spacing w:lineRule="auto" w:line="276" w:before="200" w:after="0"/>
              <w:rPr>
                <w:rFonts w:ascii="Times New Roman" w:hAnsi="Times New Roman" w:cs="Times New Roman"/>
                <w:b/>
                <w:b/>
                <w:i w:val="false"/>
                <w:i w:val="false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auto"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3.0 Výsledky výchovy a vzdělávání </w:t>
      </w:r>
    </w:p>
    <w:p>
      <w:pPr>
        <w:pStyle w:val="Nadpis4"/>
        <w:spacing w:before="20" w:after="60"/>
        <w:rPr>
          <w:sz w:val="24"/>
          <w:szCs w:val="24"/>
        </w:rPr>
      </w:pPr>
      <w:r>
        <w:rPr>
          <w:sz w:val="24"/>
          <w:szCs w:val="24"/>
        </w:rPr>
        <w:t>3.1 Celkové hodnocení a klasifikace žáků</w:t>
      </w:r>
    </w:p>
    <w:tbl>
      <w:tblPr>
        <w:tblW w:w="853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21"/>
        <w:gridCol w:w="1106"/>
        <w:gridCol w:w="1761"/>
        <w:gridCol w:w="1078"/>
        <w:gridCol w:w="1274"/>
        <w:gridCol w:w="1098"/>
      </w:tblGrid>
      <w:tr>
        <w:trPr>
          <w:trHeight w:val="463" w:hRule="atLeast"/>
        </w:trPr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Prospělo s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vyznamenáním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Prospělo       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Neprospělo 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Opakuje</w:t>
            </w:r>
          </w:p>
        </w:tc>
      </w:tr>
      <w:tr>
        <w:trPr>
          <w:trHeight w:val="284" w:hRule="exact"/>
        </w:trPr>
        <w:tc>
          <w:tcPr>
            <w:tcW w:w="2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284" w:hRule="exac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>
          <w:trHeight w:val="284" w:hRule="exac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>
          <w:trHeight w:val="284" w:hRule="exac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>
          <w:trHeight w:val="264" w:hRule="exac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>
        <w:trPr>
          <w:trHeight w:val="552" w:hRule="exac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adpis5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>Celkem za I. stupeň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dpis5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>352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dpis5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>338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dpis5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dpis5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dpis5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>
        <w:trPr>
          <w:trHeight w:val="284" w:hRule="exac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84" w:hRule="exac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84" w:hRule="exac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84" w:hRule="exac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562" w:hRule="exac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 za II. stupeň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>
        <w:trPr>
          <w:trHeight w:val="340" w:hRule="exac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 za školu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4"/>
        <w:numPr>
          <w:ilvl w:val="1"/>
          <w:numId w:val="3"/>
        </w:numPr>
        <w:spacing w:before="20" w:after="60"/>
        <w:rPr>
          <w:sz w:val="24"/>
          <w:szCs w:val="24"/>
        </w:rPr>
      </w:pPr>
      <w:r>
        <w:rPr>
          <w:sz w:val="24"/>
          <w:szCs w:val="24"/>
        </w:rPr>
        <w:t>Snížený stupeň z chování:</w:t>
      </w:r>
    </w:p>
    <w:tbl>
      <w:tblPr>
        <w:tblW w:w="659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1416"/>
        <w:gridCol w:w="2978"/>
      </w:tblGrid>
      <w:tr>
        <w:trPr/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Stupeň chování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z počtu všech žáků školy</w:t>
            </w:r>
          </w:p>
        </w:tc>
      </w:tr>
      <w:tr>
        <w:trPr/>
        <w:tc>
          <w:tcPr>
            <w:tcW w:w="21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 – 1. st.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– 2. st.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0,28</w:t>
            </w:r>
          </w:p>
        </w:tc>
      </w:tr>
      <w:tr>
        <w:trPr/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– 1. st.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– 2. st.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0,28 (1 žák započítán v I. i ve II. pololetí)</w:t>
            </w:r>
          </w:p>
        </w:tc>
      </w:tr>
    </w:tbl>
    <w:p>
      <w:pPr>
        <w:pStyle w:val="ListParagraph"/>
        <w:numPr>
          <w:ilvl w:val="1"/>
          <w:numId w:val="3"/>
        </w:numPr>
        <w:spacing w:before="20" w:after="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Celkový počet neomluvených hodin za celý školní rok:  </w:t>
      </w:r>
      <w:r>
        <w:rPr>
          <w:sz w:val="24"/>
          <w:szCs w:val="24"/>
        </w:rPr>
        <w:t xml:space="preserve">650 </w:t>
      </w:r>
    </w:p>
    <w:p>
      <w:pPr>
        <w:pStyle w:val="ListParagraph"/>
        <w:numPr>
          <w:ilvl w:val="1"/>
          <w:numId w:val="3"/>
        </w:numPr>
        <w:spacing w:before="20" w:after="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Průměr na jednoho žáka:</w:t>
      </w:r>
      <w:r>
        <w:rPr>
          <w:sz w:val="24"/>
          <w:szCs w:val="24"/>
        </w:rPr>
        <w:t xml:space="preserve"> 0,925</w:t>
      </w:r>
    </w:p>
    <w:p>
      <w:pPr>
        <w:pStyle w:val="Normal"/>
        <w:spacing w:before="20" w:after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pat"/>
        <w:spacing w:before="20" w:after="20"/>
        <w:ind w:left="42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Zpat"/>
        <w:tabs>
          <w:tab w:val="left" w:pos="708" w:leader="none"/>
          <w:tab w:val="center" w:pos="4536" w:leader="none"/>
          <w:tab w:val="right" w:pos="9072" w:leader="none"/>
        </w:tabs>
        <w:spacing w:before="20" w:after="20"/>
        <w:ind w:left="4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Zpat"/>
        <w:tabs>
          <w:tab w:val="left" w:pos="708" w:leader="none"/>
          <w:tab w:val="center" w:pos="4536" w:leader="none"/>
          <w:tab w:val="right" w:pos="9072" w:leader="none"/>
        </w:tabs>
        <w:spacing w:before="20" w:after="20"/>
        <w:ind w:left="4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Zpat"/>
        <w:tabs>
          <w:tab w:val="left" w:pos="708" w:leader="none"/>
          <w:tab w:val="center" w:pos="4536" w:leader="none"/>
          <w:tab w:val="right" w:pos="9072" w:leader="none"/>
        </w:tabs>
        <w:spacing w:before="20" w:after="20"/>
        <w:ind w:left="4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Zpat"/>
        <w:tabs>
          <w:tab w:val="left" w:pos="708" w:leader="none"/>
          <w:tab w:val="center" w:pos="4536" w:leader="none"/>
          <w:tab w:val="right" w:pos="9072" w:leader="none"/>
        </w:tabs>
        <w:spacing w:before="20" w:after="20"/>
        <w:ind w:left="4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3.5 Údaje o přijímacím řízení na střední školu </w:t>
      </w:r>
    </w:p>
    <w:p>
      <w:pPr>
        <w:pStyle w:val="Normal"/>
        <w:keepNext w:val="true"/>
        <w:numPr>
          <w:ilvl w:val="0"/>
          <w:numId w:val="0"/>
        </w:numPr>
        <w:spacing w:before="20" w:after="60"/>
        <w:ind w:left="420" w:hanging="0"/>
        <w:outlineLvl w:val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0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80"/>
        <w:gridCol w:w="1276"/>
        <w:gridCol w:w="1276"/>
        <w:gridCol w:w="1275"/>
        <w:gridCol w:w="852"/>
        <w:gridCol w:w="850"/>
      </w:tblGrid>
      <w:tr>
        <w:trPr>
          <w:cantSplit w:val="true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Gymnázium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SOU</w:t>
            </w:r>
          </w:p>
        </w:tc>
      </w:tr>
      <w:tr>
        <w:trPr>
          <w:cantSplit w:val="true"/>
        </w:trPr>
        <w:tc>
          <w:tcPr>
            <w:tcW w:w="2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leté studium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 leté studium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leté studium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Počty přijatých žáků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before="20" w:after="60"/>
        <w:outlineLvl w:val="3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3.6 Počet absolventů ZŠ </w:t>
      </w:r>
    </w:p>
    <w:tbl>
      <w:tblPr>
        <w:tblW w:w="67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1858"/>
        <w:gridCol w:w="1844"/>
      </w:tblGrid>
      <w:tr>
        <w:trPr>
          <w:trHeight w:val="317" w:hRule="atLeast"/>
        </w:trPr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340" w:hanging="340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340" w:hanging="340"/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>
        <w:trPr/>
        <w:tc>
          <w:tcPr>
            <w:tcW w:w="30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 ročník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 xml:space="preserve">93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93 </w:t>
            </w:r>
          </w:p>
        </w:tc>
      </w:tr>
      <w:tr>
        <w:trPr/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nižší ročník/5.ročník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7/2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/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3.7 Přestupy žáků mezi ZŠ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Počet žáků, kteří odešli na jinou ZŠ: 6 (I. st.)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Důvody: 2 x víceleté gymnázium  (I. st.)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4 x přání zákonných zástupců (I. st.)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Počet žáků, kteří odešli na jinou ZŠ: 6 (II. st):</w:t>
      </w:r>
    </w:p>
    <w:p>
      <w:pPr>
        <w:pStyle w:val="Normal"/>
        <w:rPr>
          <w:color w:val="00B050"/>
          <w:sz w:val="24"/>
          <w:szCs w:val="24"/>
        </w:rPr>
      </w:pPr>
      <w:r>
        <w:rPr>
          <w:sz w:val="24"/>
          <w:szCs w:val="24"/>
        </w:rPr>
        <w:t>Důvody: 2 x stěhování, 3 x kamarádi na jiné ZŠ, 1x důvod neznámý</w:t>
      </w:r>
    </w:p>
    <w:p>
      <w:pPr>
        <w:pStyle w:val="Normal"/>
        <w:rPr>
          <w:color w:val="FF0000"/>
          <w:sz w:val="24"/>
          <w:szCs w:val="24"/>
        </w:rPr>
      </w:pPr>
      <w:r>
        <w:rPr>
          <w:sz w:val="24"/>
          <w:szCs w:val="24"/>
        </w:rPr>
        <w:t>Počet žáků, kteří přišli z jiné ZŠ: 2 (I. st.)</w:t>
      </w:r>
      <w:r>
        <w:rPr>
          <w:color w:val="FF0000"/>
          <w:sz w:val="24"/>
          <w:szCs w:val="24"/>
        </w:rPr>
        <w:t xml:space="preserve">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Důvody: 1 x stěhování (I. st.)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1 x přání zákonných zástupců (I. st.)</w:t>
      </w:r>
    </w:p>
    <w:p>
      <w:pPr>
        <w:pStyle w:val="Normal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Počet žáků, kteří přišli z jiné ZŠ: 19 (II. st)  </w:t>
      </w:r>
    </w:p>
    <w:p>
      <w:pPr>
        <w:pStyle w:val="Normal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Důvody: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 x přestup do 6. ročníku ZŠ z okolních ZŠ, které zajišťují výuku pouze do 5. ročníku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 x – stěhování do Brna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4.0 Hodnocení ZŠ nebo jejich součástí</w:t>
      </w:r>
    </w:p>
    <w:p>
      <w:pPr>
        <w:pStyle w:val="Normal"/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Kontroly provedené Českou školní inspekcí: </w:t>
      </w:r>
      <w:r>
        <w:rPr>
          <w:sz w:val="24"/>
          <w:szCs w:val="24"/>
        </w:rPr>
        <w:t>-</w:t>
      </w:r>
    </w:p>
    <w:p>
      <w:pPr>
        <w:pStyle w:val="Normal"/>
        <w:numPr>
          <w:ilvl w:val="1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Opatření zavedená na základě zjištění České školní inspekce: -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Kontroly provedené jinými kontrolními orgány:</w:t>
      </w:r>
    </w:p>
    <w:p>
      <w:pPr>
        <w:pStyle w:val="ListParagraph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Veřejnosprávní kontrola na místě 17. 4. 2020, Útvar interního auditu a kontroly MČ Brno-Bohunice</w:t>
      </w:r>
    </w:p>
    <w:p>
      <w:pPr>
        <w:pStyle w:val="Normal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Ověření skutečností v účetní uzávěrce za rok 2020 se zaměřením na hospodárné, efektivní a účelné nakládání s prostředky poskytnutými z rozpočtu MČ Brno-Bohunice.</w:t>
      </w:r>
    </w:p>
    <w:p>
      <w:pPr>
        <w:pStyle w:val="Normal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Nedostatky:</w:t>
      </w:r>
    </w:p>
    <w:p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Prvotní doklady zejména výdajové a příjmové pokladní doklady a texty u řídící kontroly výdajů a příjmů jsou zapisovány gumovacím perem. Řešeno zákazem používání tohoto typu pera.</w:t>
      </w:r>
    </w:p>
    <w:p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Dvě smlouvy s dodavateli služeb nebyly zveřejněny v registru smluv. Řešeno dohodou o narovnání a smlouvy byly zveřejněny dodatečně. </w:t>
      </w:r>
    </w:p>
    <w:p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příjmových i výdajových operací nesouhlasí podpisový vzor na směrnici k řídící kontrole s podpisem na záznamech řídící kontroly u příkazce operací. Ředitel školy své podpisy po tomto zjištění sjednotil. </w:t>
      </w:r>
    </w:p>
    <w:p>
      <w:pPr>
        <w:pStyle w:val="Normal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left="360" w:hanging="0"/>
        <w:rPr>
          <w:b/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</w:r>
    </w:p>
    <w:p>
      <w:pPr>
        <w:pStyle w:val="Normal"/>
        <w:ind w:left="360" w:hanging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numPr>
          <w:ilvl w:val="1"/>
          <w:numId w:val="2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Opatření zavedená na základě zjištění jiných kontrolních orgánů: </w:t>
      </w:r>
      <w:r>
        <w:rPr>
          <w:bCs/>
          <w:sz w:val="24"/>
          <w:szCs w:val="24"/>
        </w:rPr>
        <w:t xml:space="preserve">ředitel řešil nedostatek s ekonomkou školy. Viz výše. </w:t>
      </w:r>
    </w:p>
    <w:p>
      <w:pPr>
        <w:pStyle w:val="Normal"/>
        <w:rPr/>
      </w:pPr>
      <w:r>
        <w:rPr/>
      </w:r>
    </w:p>
    <w:p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5.0 Výkon státní správy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/dle § 165, odst. 2, zákona č. 561/2004 Sb./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  Rozhodnutí ředitele: </w:t>
      </w:r>
    </w:p>
    <w:tbl>
      <w:tblPr>
        <w:tblW w:w="885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598"/>
        <w:gridCol w:w="1701"/>
        <w:gridCol w:w="1560"/>
      </w:tblGrid>
      <w:tr>
        <w:trPr/>
        <w:tc>
          <w:tcPr>
            <w:tcW w:w="5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rozhodnutí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odvolání</w:t>
            </w:r>
          </w:p>
        </w:tc>
      </w:tr>
      <w:tr>
        <w:trPr/>
        <w:tc>
          <w:tcPr>
            <w:tcW w:w="55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Odklad povinné školní docházky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6.0 Poradenské služby v základní škole – společné vzdělávání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4"/>
        <w:rPr>
          <w:sz w:val="24"/>
          <w:szCs w:val="24"/>
        </w:rPr>
      </w:pPr>
      <w:r>
        <w:rPr>
          <w:sz w:val="24"/>
          <w:szCs w:val="24"/>
        </w:rPr>
        <w:t xml:space="preserve">6.1 Údaje o odborných pracovnících </w:t>
      </w:r>
    </w:p>
    <w:p>
      <w:pPr>
        <w:pStyle w:val="Normal"/>
        <w:keepNext w:val="true"/>
        <w:numPr>
          <w:ilvl w:val="0"/>
          <w:numId w:val="0"/>
        </w:numPr>
        <w:spacing w:before="20" w:after="60"/>
        <w:outlineLvl w:val="3"/>
        <w:rPr>
          <w:sz w:val="24"/>
          <w:szCs w:val="24"/>
        </w:rPr>
      </w:pPr>
      <w:r>
        <w:rPr>
          <w:sz w:val="24"/>
          <w:szCs w:val="24"/>
        </w:rPr>
        <w:t>6.1.1 Počty</w:t>
      </w:r>
    </w:p>
    <w:tbl>
      <w:tblPr>
        <w:tblW w:w="885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46"/>
        <w:gridCol w:w="1418"/>
        <w:gridCol w:w="2267"/>
        <w:gridCol w:w="2127"/>
      </w:tblGrid>
      <w:tr>
        <w:trPr/>
        <w:tc>
          <w:tcPr>
            <w:tcW w:w="30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fyzický počet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kvalifikace, specializace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dosažené vzdělání</w:t>
            </w:r>
          </w:p>
        </w:tc>
      </w:tr>
      <w:tr>
        <w:trPr/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výchovný poradce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Výchovné poradenství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 + započaté studium výchovného poradenství</w:t>
            </w:r>
          </w:p>
        </w:tc>
      </w:tr>
      <w:tr>
        <w:trPr/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 pro metod.pr.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 + 2 krát ukončené vzdělání pro metodiky prevence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85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46"/>
        <w:gridCol w:w="1418"/>
        <w:gridCol w:w="2268"/>
        <w:gridCol w:w="2126"/>
      </w:tblGrid>
      <w:tr>
        <w:trPr/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úvazek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kvalifikace, specializace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dosažené vzdělání</w:t>
            </w:r>
          </w:p>
        </w:tc>
      </w:tr>
      <w:tr>
        <w:trPr/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školní psycholog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63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>
        <w:trPr/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školní spec. pedagog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0,909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pedagogika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>
        <w:trPr/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školní speciální pedagog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pedagogika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>
        <w:trPr/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spec. pedagog MŠ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0,545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pedagogika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20" w:after="60"/>
        <w:outlineLvl w:val="3"/>
        <w:rPr>
          <w:sz w:val="24"/>
          <w:szCs w:val="24"/>
        </w:rPr>
      </w:pPr>
      <w:r>
        <w:rPr>
          <w:sz w:val="24"/>
          <w:szCs w:val="24"/>
        </w:rPr>
        <w:t>6.1.2 Věková struktura</w:t>
      </w:r>
    </w:p>
    <w:tbl>
      <w:tblPr>
        <w:tblW w:w="871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6"/>
        <w:gridCol w:w="1560"/>
        <w:gridCol w:w="1700"/>
        <w:gridCol w:w="3260"/>
      </w:tblGrid>
      <w:tr>
        <w:trPr>
          <w:cantSplit w:val="true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35 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– 50 let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let–a více/z toho důchodci</w:t>
            </w:r>
          </w:p>
        </w:tc>
      </w:tr>
      <w:tr>
        <w:trPr>
          <w:cantSplit w:val="true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výchovný poradce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psycholog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speciální pedagog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6.1.3 </w:t>
        <w:tab/>
        <w:t>Další vzdělávání poradenských pracovníků</w:t>
      </w:r>
    </w:p>
    <w:p>
      <w:pPr>
        <w:pStyle w:val="Normal"/>
        <w:ind w:firstLine="340"/>
        <w:rPr>
          <w:sz w:val="24"/>
          <w:szCs w:val="24"/>
        </w:rPr>
      </w:pPr>
      <w:r>
        <w:rPr>
          <w:sz w:val="24"/>
          <w:szCs w:val="24"/>
        </w:rPr>
        <w:t>Typy vzdělávání a vzdělávací organizace u jednotlivých pracovníků 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výchovný poradce: -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školní metodik prevence: -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4"/>
        <w:rPr>
          <w:sz w:val="24"/>
          <w:szCs w:val="24"/>
        </w:rPr>
      </w:pPr>
      <w:r>
        <w:rPr>
          <w:sz w:val="24"/>
          <w:szCs w:val="24"/>
        </w:rPr>
        <w:t xml:space="preserve">6.2 Údaje o finančních zdrojích na poradenské služby ve školách  </w:t>
      </w:r>
    </w:p>
    <w:p>
      <w:pPr>
        <w:pStyle w:val="BodyText3"/>
        <w:rPr>
          <w:sz w:val="24"/>
          <w:szCs w:val="24"/>
        </w:rPr>
      </w:pPr>
      <w:r>
        <w:rPr>
          <w:sz w:val="24"/>
          <w:szCs w:val="24"/>
        </w:rPr>
        <w:t xml:space="preserve">6.2.1 </w:t>
        <w:tab/>
        <w:t>Finanční prostředky čerpané ze státního rozpočtu formou grantů (ne z KrÚ JmK):</w:t>
      </w:r>
    </w:p>
    <w:p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Projekt Šablony 2019  CZ.02.3.68/0.0/0.0/18_063/0015097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6.2.2</w:t>
        <w:tab/>
        <w:t>Finanční prostředky z jiných zdrojů (např. MČ, MMB, sponzor, jiné):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Projekt  </w:t>
      </w:r>
      <w:r>
        <w:rPr>
          <w:sz w:val="24"/>
          <w:szCs w:val="24"/>
        </w:rPr>
        <w:t xml:space="preserve">Podpora předškolního a základního vzdělávání ve městě Brně </w:t>
        <w:br/>
        <w:t>CZ.02.3.61/0.0/0.0/19_075/0013630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6.3 Údaje o aktivitách žáků i učitelů a o prezentaci školy na veřejnosti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6.3.1 Soutěže</w:t>
      </w:r>
      <w:r>
        <w:rPr>
          <w:sz w:val="24"/>
          <w:szCs w:val="24"/>
        </w:rPr>
        <w:t xml:space="preserve"> </w:t>
      </w:r>
    </w:p>
    <w:tbl>
      <w:tblPr>
        <w:tblW w:w="95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94"/>
        <w:gridCol w:w="2500"/>
        <w:gridCol w:w="2501"/>
        <w:gridCol w:w="1827"/>
      </w:tblGrid>
      <w:tr>
        <w:trPr>
          <w:trHeight w:val="148" w:hRule="atLeast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Sportovní soutěže se nekonaly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účastníci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umístění</w:t>
            </w:r>
          </w:p>
        </w:tc>
      </w:tr>
      <w:tr>
        <w:trPr>
          <w:trHeight w:val="148" w:hRule="atLeast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Výtvarné soutěže se nekonaly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účastníci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umístění</w:t>
            </w:r>
          </w:p>
        </w:tc>
      </w:tr>
      <w:tr>
        <w:trPr>
          <w:trHeight w:val="237" w:hRule="atLeast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Literární a recitační soutěže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účastníci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umístění</w:t>
            </w:r>
          </w:p>
        </w:tc>
      </w:tr>
      <w:tr>
        <w:trPr>
          <w:trHeight w:val="23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Olympiáda v českém jazyce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městské kolo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Tereza Šebestová 9.A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Eliška Schwabová, 9.A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Tereza Přerostová, 9.A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úspěšný řešitel</w:t>
            </w:r>
          </w:p>
          <w:p>
            <w:pPr>
              <w:pStyle w:val="ListParagraph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37" w:hRule="atLeast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Přírodovědné a matematické soutěže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účastníci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umístění</w:t>
            </w:r>
          </w:p>
        </w:tc>
      </w:tr>
      <w:tr>
        <w:trPr>
          <w:trHeight w:val="216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MATESO – matematická soutěž 5. r.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okresní kolo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Pichová Hana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řešitel</w:t>
            </w:r>
          </w:p>
        </w:tc>
      </w:tr>
      <w:tr>
        <w:trPr>
          <w:trHeight w:val="216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16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16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Matematická olympiáda 5. tříd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MATESO – matematická soutěž 5. r.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okresní kolo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Pichová Hana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úspěšný řešitel</w:t>
            </w:r>
          </w:p>
        </w:tc>
      </w:tr>
      <w:tr>
        <w:trPr>
          <w:trHeight w:val="216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Šiborová Aneta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úspěšný řešitel</w:t>
            </w:r>
          </w:p>
        </w:tc>
      </w:tr>
      <w:tr>
        <w:trPr>
          <w:trHeight w:val="216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</w:tr>
      <w:tr>
        <w:trPr>
          <w:trHeight w:val="216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Pichová Hana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řešitel</w:t>
            </w:r>
          </w:p>
        </w:tc>
      </w:tr>
      <w:tr>
        <w:trPr>
          <w:trHeight w:val="13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Matematická olympiáda 6.,  7. a 8. ročník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městské kolo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Gistrová Adéla, 6.C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Monika Zemánková, 7. 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Bařinová Eliška, 8. 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řešitel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Úspěšný řešitel</w:t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řešitel</w:t>
            </w:r>
          </w:p>
        </w:tc>
      </w:tr>
    </w:tbl>
    <w:p>
      <w:pPr>
        <w:pStyle w:val="Normal"/>
        <w:tabs>
          <w:tab w:val="clear" w:pos="708"/>
          <w:tab w:val="left" w:pos="6240" w:leader="none"/>
        </w:tabs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6.3.2 Spolupráce školy s dalšími subjekty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Pokud uvádíme, že se akce konala, pak většinou v on-line formě</w:t>
      </w:r>
    </w:p>
    <w:p>
      <w:pPr>
        <w:pStyle w:val="Normal"/>
        <w:tabs>
          <w:tab w:val="clear" w:pos="708"/>
          <w:tab w:val="left" w:pos="786" w:leader="none"/>
        </w:tabs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Spolupráce s</w:t>
      </w:r>
      <w:r>
        <w:rPr>
          <w:b/>
          <w:sz w:val="22"/>
          <w:szCs w:val="22"/>
        </w:rPr>
        <w:t xml:space="preserve"> ÚMČ Brno – Bohunice</w:t>
        <w:tab/>
      </w:r>
    </w:p>
    <w:p>
      <w:pPr>
        <w:pStyle w:val="Normal"/>
        <w:numPr>
          <w:ilvl w:val="0"/>
          <w:numId w:val="5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pravidelné příspěvky do bulletinu „Bohunický zpravodaj“</w:t>
      </w:r>
    </w:p>
    <w:p>
      <w:pPr>
        <w:pStyle w:val="Normal"/>
        <w:numPr>
          <w:ilvl w:val="0"/>
          <w:numId w:val="5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turistický pochod (opravdu se konal)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Spolupráce s rodiči žáků</w:t>
      </w:r>
    </w:p>
    <w:p>
      <w:pPr>
        <w:pStyle w:val="Normal"/>
        <w:numPr>
          <w:ilvl w:val="0"/>
          <w:numId w:val="6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slavnostní zahájení školního roku pro žáky 1. tříd a jejich rodiče</w:t>
      </w:r>
    </w:p>
    <w:p>
      <w:pPr>
        <w:pStyle w:val="Normal"/>
        <w:numPr>
          <w:ilvl w:val="0"/>
          <w:numId w:val="6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slavnostní ukončení školního roku pro žáky 9. tříd</w:t>
      </w:r>
    </w:p>
    <w:p>
      <w:pPr>
        <w:pStyle w:val="Normal"/>
        <w:numPr>
          <w:ilvl w:val="0"/>
          <w:numId w:val="6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zápis do 1. tříd – Den otevřených dveří (virtuální prohlídka školy, v červnu pak fyzická prohlídka školy</w:t>
      </w:r>
    </w:p>
    <w:p>
      <w:pPr>
        <w:pStyle w:val="Normal"/>
        <w:numPr>
          <w:ilvl w:val="0"/>
          <w:numId w:val="6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informační setkání pro rodiče vycházejících žáků 9. ročníku a žáků, kteří se hlásili na víceletá gymnázia</w:t>
      </w:r>
    </w:p>
    <w:p>
      <w:pPr>
        <w:pStyle w:val="Normal"/>
        <w:numPr>
          <w:ilvl w:val="0"/>
          <w:numId w:val="6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 xml:space="preserve">třídní schůzky a hovorové hodiny </w:t>
      </w:r>
    </w:p>
    <w:p>
      <w:pPr>
        <w:pStyle w:val="Normal"/>
        <w:numPr>
          <w:ilvl w:val="0"/>
          <w:numId w:val="6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závěrečné prezentace žáků 9. ročníků</w:t>
      </w:r>
    </w:p>
    <w:p>
      <w:pPr>
        <w:pStyle w:val="Normal"/>
        <w:numPr>
          <w:ilvl w:val="0"/>
          <w:numId w:val="6"/>
        </w:numPr>
        <w:suppressAutoHyphens w:val="true"/>
        <w:rPr>
          <w:bCs/>
          <w:sz w:val="22"/>
          <w:szCs w:val="22"/>
        </w:rPr>
      </w:pPr>
      <w:r>
        <w:rPr>
          <w:bCs/>
          <w:sz w:val="22"/>
          <w:szCs w:val="22"/>
        </w:rPr>
        <w:t>Kavárna pro žáky, rodiče a veřejnost spojená s kulturním vystoupením, zrušeno</w:t>
      </w:r>
    </w:p>
    <w:p>
      <w:pPr>
        <w:pStyle w:val="Normal"/>
        <w:numPr>
          <w:ilvl w:val="0"/>
          <w:numId w:val="6"/>
        </w:numPr>
        <w:suppressAutoHyphens w:val="true"/>
        <w:rPr>
          <w:bCs/>
          <w:sz w:val="22"/>
          <w:szCs w:val="22"/>
        </w:rPr>
      </w:pPr>
      <w:r>
        <w:rPr>
          <w:bCs/>
          <w:sz w:val="22"/>
          <w:szCs w:val="22"/>
        </w:rPr>
        <w:t>účast na Veletrhu základních škol v SVČ Lužánky, zrušeno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Spolupráce s Tanečním klubem Dance Sport Pro Kometa Brno</w:t>
      </w:r>
    </w:p>
    <w:p>
      <w:pPr>
        <w:pStyle w:val="Normal"/>
        <w:numPr>
          <w:ilvl w:val="0"/>
          <w:numId w:val="6"/>
        </w:numPr>
        <w:suppressAutoHyphens w:val="true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podíl na výuce </w:t>
      </w:r>
      <w:r>
        <w:rPr>
          <w:bCs/>
          <w:iCs/>
          <w:sz w:val="22"/>
          <w:szCs w:val="22"/>
        </w:rPr>
        <w:t>taneční a pohybové výchovy na naší škole</w:t>
      </w:r>
    </w:p>
    <w:p>
      <w:pPr>
        <w:pStyle w:val="Normal"/>
        <w:numPr>
          <w:ilvl w:val="0"/>
          <w:numId w:val="6"/>
        </w:numPr>
        <w:suppressAutoHyphens w:val="true"/>
        <w:rPr>
          <w:sz w:val="22"/>
          <w:szCs w:val="22"/>
        </w:rPr>
      </w:pPr>
      <w:r>
        <w:rPr>
          <w:bCs/>
          <w:iCs/>
          <w:sz w:val="22"/>
          <w:szCs w:val="22"/>
        </w:rPr>
        <w:t>prezentace činnosti pro rodiče u příležitosti Dne otevřených dveří, zrušeno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Spolupráce s MŠ Amerlingova, Běloruská, Švermova, Uzbecká</w:t>
      </w:r>
    </w:p>
    <w:p>
      <w:pPr>
        <w:pStyle w:val="Normal"/>
        <w:numPr>
          <w:ilvl w:val="0"/>
          <w:numId w:val="7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Den otevřených dveří pro předškoláky a jejich rodiče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(ukázky práce školní družiny a zájmových útvarů, dílny pro děti), zrušeno</w:t>
      </w:r>
    </w:p>
    <w:p>
      <w:pPr>
        <w:pStyle w:val="Normal"/>
        <w:numPr>
          <w:ilvl w:val="0"/>
          <w:numId w:val="7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 xml:space="preserve">Mikulášská besídka pro MŠ </w:t>
      </w:r>
    </w:p>
    <w:p>
      <w:pPr>
        <w:pStyle w:val="Normal"/>
        <w:numPr>
          <w:ilvl w:val="0"/>
          <w:numId w:val="7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účast předškoláků na „edukativně – stimulačních skupinách“ a na dílnách zaměřených na pohybovou a rukodělnou činnost, zrušeno částečně, některé se skupin se sešly v červnu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trike/>
          <w:color w:val="00B050"/>
          <w:sz w:val="22"/>
          <w:szCs w:val="22"/>
        </w:rPr>
      </w:pPr>
      <w:r>
        <w:rPr>
          <w:b/>
          <w:strike/>
          <w:color w:val="00B05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Spolupráce s Pedagogickou fakultou Masarykovy univerzity v Brně</w:t>
      </w:r>
    </w:p>
    <w:p>
      <w:pPr>
        <w:pStyle w:val="Normal"/>
        <w:numPr>
          <w:ilvl w:val="0"/>
          <w:numId w:val="8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souvislá a asistentská praxe posluchačů PdF</w:t>
      </w:r>
    </w:p>
    <w:p>
      <w:pPr>
        <w:pStyle w:val="Normal"/>
        <w:ind w:left="141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Spolupráce s </w:t>
      </w:r>
      <w:r>
        <w:rPr>
          <w:b/>
          <w:sz w:val="22"/>
          <w:szCs w:val="22"/>
        </w:rPr>
        <w:t xml:space="preserve">KJM Lány </w:t>
      </w:r>
      <w:r>
        <w:rPr>
          <w:sz w:val="22"/>
          <w:szCs w:val="22"/>
        </w:rPr>
        <w:tab/>
      </w:r>
    </w:p>
    <w:p>
      <w:pPr>
        <w:pStyle w:val="Normal"/>
        <w:numPr>
          <w:ilvl w:val="0"/>
          <w:numId w:val="10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Klíčování prvňáčků, slavnostní pasování na čtenáře, 1.ABC</w:t>
      </w:r>
    </w:p>
    <w:p>
      <w:pPr>
        <w:pStyle w:val="Normal"/>
        <w:numPr>
          <w:ilvl w:val="0"/>
          <w:numId w:val="10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 xml:space="preserve">Šňůrka plná korálků, účast 1.ABC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86" w:leader="none"/>
        </w:tabs>
        <w:rPr>
          <w:b/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Spolupráce</w:t>
      </w:r>
      <w:r>
        <w:rPr>
          <w:b/>
          <w:bCs/>
          <w:iCs/>
          <w:sz w:val="22"/>
          <w:szCs w:val="22"/>
        </w:rPr>
        <w:t xml:space="preserve"> s PPP Zachova Brno</w:t>
      </w:r>
    </w:p>
    <w:p>
      <w:pPr>
        <w:pStyle w:val="Normal"/>
        <w:numPr>
          <w:ilvl w:val="0"/>
          <w:numId w:val="9"/>
        </w:numPr>
        <w:suppressAutoHyphens w:val="true"/>
        <w:rPr>
          <w:b/>
          <w:b/>
          <w:sz w:val="22"/>
          <w:szCs w:val="22"/>
        </w:rPr>
      </w:pPr>
      <w:r>
        <w:rPr>
          <w:iCs/>
          <w:sz w:val="22"/>
          <w:szCs w:val="22"/>
        </w:rPr>
        <w:t xml:space="preserve">pravidelná spolupráce při diagnostikování žáků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Spolupráce s odborem prevence HZS Jihomoravského kraje</w:t>
      </w:r>
    </w:p>
    <w:p>
      <w:pPr>
        <w:pStyle w:val="Normal"/>
        <w:numPr>
          <w:ilvl w:val="0"/>
          <w:numId w:val="9"/>
        </w:numPr>
        <w:suppressAutoHyphens w:val="true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výukové programy pro žáky 2. a 6. ročníku v oblasti Ochrany člověka za mimořádných událostí</w:t>
      </w:r>
    </w:p>
    <w:p>
      <w:pPr>
        <w:pStyle w:val="Normal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Spolupráce s Městskou policií Brno a Policií ČR</w:t>
      </w:r>
    </w:p>
    <w:p>
      <w:pPr>
        <w:pStyle w:val="Normal"/>
        <w:numPr>
          <w:ilvl w:val="0"/>
          <w:numId w:val="5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 xml:space="preserve">účast na výukových programech Odboru prevence MP Brno v oblasti dopravní výchovy a prevence sociálně – patologických jevů </w:t>
      </w:r>
    </w:p>
    <w:p>
      <w:pPr>
        <w:pStyle w:val="Normal"/>
        <w:rPr>
          <w:sz w:val="22"/>
          <w:szCs w:val="22"/>
        </w:rPr>
      </w:pPr>
      <w:r>
        <w:rPr>
          <w:iCs/>
          <w:sz w:val="22"/>
          <w:szCs w:val="22"/>
        </w:rPr>
        <w:tab/>
        <w:tab/>
        <w:tab/>
      </w:r>
      <w:r>
        <w:rPr>
          <w:sz w:val="22"/>
          <w:szCs w:val="22"/>
        </w:rPr>
        <w:tab/>
        <w:tab/>
      </w:r>
    </w:p>
    <w:p>
      <w:pPr>
        <w:pStyle w:val="Normal"/>
        <w:tabs>
          <w:tab w:val="clear" w:pos="708"/>
          <w:tab w:val="left" w:pos="786" w:leader="none"/>
        </w:tabs>
        <w:rPr>
          <w:b/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Spolupráce</w:t>
      </w:r>
      <w:r>
        <w:rPr>
          <w:b/>
          <w:bCs/>
          <w:iCs/>
          <w:sz w:val="22"/>
          <w:szCs w:val="22"/>
        </w:rPr>
        <w:t xml:space="preserve"> s Poradenským centrem pro drogové a jiné závislosti</w:t>
      </w:r>
    </w:p>
    <w:p>
      <w:pPr>
        <w:pStyle w:val="Normal"/>
        <w:numPr>
          <w:ilvl w:val="0"/>
          <w:numId w:val="9"/>
        </w:numPr>
        <w:suppressAutoHyphens w:val="true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účast metodiků prevence sociálně patologických jevů na pravidelných schůzkách</w:t>
      </w:r>
    </w:p>
    <w:p>
      <w:pPr>
        <w:pStyle w:val="Normal"/>
        <w:numPr>
          <w:ilvl w:val="0"/>
          <w:numId w:val="9"/>
        </w:numPr>
        <w:suppressAutoHyphens w:val="true"/>
        <w:rPr>
          <w:b/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využití služeb psychologů při řešení konfliktních situací v některých třídách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6.3.3 Účast žáků a pedagogů školy na životě v obci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numPr>
          <w:ilvl w:val="0"/>
          <w:numId w:val="9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pravidelné příspěvky do bulletinu „Naše Bohunice“</w:t>
      </w:r>
    </w:p>
    <w:p>
      <w:pPr>
        <w:pStyle w:val="Normal"/>
        <w:numPr>
          <w:ilvl w:val="0"/>
          <w:numId w:val="9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kulturní vystoupení žáků naší školy pro seniory na radnici MČ Bohunice</w:t>
      </w:r>
    </w:p>
    <w:p>
      <w:pPr>
        <w:pStyle w:val="Normal"/>
        <w:numPr>
          <w:ilvl w:val="0"/>
          <w:numId w:val="9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kulturní vystoupení žáků naší školy při slavnostním rozsvěcení vánočního stromu</w:t>
      </w:r>
    </w:p>
    <w:p>
      <w:pPr>
        <w:pStyle w:val="Normal"/>
        <w:numPr>
          <w:ilvl w:val="0"/>
          <w:numId w:val="9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>Setkání dětí a mládeže Bohunic a okolí se zástupci volnočasových aktivit Bohunic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adpis4"/>
        <w:spacing w:before="20" w:after="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6.4 Individuální integrace  </w:t>
      </w:r>
    </w:p>
    <w:tbl>
      <w:tblPr>
        <w:tblW w:w="9024" w:type="dxa"/>
        <w:jc w:val="left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5"/>
        <w:gridCol w:w="1514"/>
        <w:gridCol w:w="1529"/>
        <w:gridCol w:w="2985"/>
      </w:tblGrid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Typ postižení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Stupeň podpůrného opatření</w:t>
            </w:r>
          </w:p>
        </w:tc>
      </w:tr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autismus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3., 5., 6.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3, 2</w:t>
            </w:r>
          </w:p>
        </w:tc>
      </w:tr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tělesné postižení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sluchové postižení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zrakové postižení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poruchy chování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1., 2., 3., 4., 5., 6., 7. , 9..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2, 3</w:t>
            </w:r>
          </w:p>
        </w:tc>
      </w:tr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poruchy intelektu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poruchy učení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1., 2., 3., 4., 5., 6., 7., 8., 9.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2, 3</w:t>
            </w:r>
          </w:p>
        </w:tc>
      </w:tr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2, 3</w:t>
            </w:r>
          </w:p>
        </w:tc>
      </w:tr>
    </w:tbl>
    <w:p>
      <w:pPr>
        <w:pStyle w:val="Nadpis4"/>
        <w:spacing w:before="20" w:after="60"/>
        <w:rPr>
          <w:sz w:val="24"/>
          <w:szCs w:val="24"/>
        </w:rPr>
      </w:pPr>
      <w:r>
        <w:rPr>
          <w:sz w:val="24"/>
          <w:szCs w:val="24"/>
        </w:rPr>
        <w:t>6.5 Skupinová integrace</w:t>
      </w:r>
    </w:p>
    <w:tbl>
      <w:tblPr>
        <w:tblW w:w="9024" w:type="dxa"/>
        <w:jc w:val="left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5"/>
        <w:gridCol w:w="1786"/>
        <w:gridCol w:w="1257"/>
        <w:gridCol w:w="2985"/>
      </w:tblGrid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Typ postižení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Stupeň podpůrného opatření</w:t>
            </w:r>
          </w:p>
        </w:tc>
      </w:tr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>
      <w:pPr>
        <w:pStyle w:val="NormalWeb"/>
        <w:rPr>
          <w:b/>
          <w:b/>
          <w:bCs/>
        </w:rPr>
      </w:pPr>
      <w:r>
        <w:rPr>
          <w:b/>
          <w:bCs/>
        </w:rPr>
      </w:r>
    </w:p>
    <w:p>
      <w:pPr>
        <w:pStyle w:val="Nadpis3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7.1 Další údaje o škole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7.2 Mimoškolní a volnočasové aktivity školy, seznam zájmových, občanských, případně dalších sdružení působících při škole, sdružení rodičů, sportovní klub aj. ... </w:t>
      </w:r>
    </w:p>
    <w:p>
      <w:pPr>
        <w:pStyle w:val="Tlotextu"/>
        <w:rPr>
          <w:sz w:val="24"/>
          <w:szCs w:val="24"/>
        </w:rPr>
      </w:pPr>
      <w:r>
        <w:rPr>
          <w:sz w:val="24"/>
          <w:szCs w:val="24"/>
        </w:rPr>
        <w:t>Zařazení v Síti brněnských otevřených škol</w:t>
      </w:r>
    </w:p>
    <w:p>
      <w:pPr>
        <w:pStyle w:val="Tlotextu"/>
        <w:rPr>
          <w:sz w:val="24"/>
          <w:szCs w:val="24"/>
        </w:rPr>
      </w:pPr>
      <w:r>
        <w:rPr>
          <w:sz w:val="24"/>
          <w:szCs w:val="24"/>
        </w:rPr>
        <w:t>Klub rodičů při ZŠ Vedlejší</w:t>
      </w:r>
    </w:p>
    <w:p>
      <w:pPr>
        <w:pStyle w:val="Normal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adpis4"/>
        <w:spacing w:before="20" w:after="60"/>
        <w:rPr>
          <w:sz w:val="24"/>
          <w:szCs w:val="24"/>
        </w:rPr>
      </w:pPr>
      <w:r>
        <w:rPr>
          <w:sz w:val="24"/>
          <w:szCs w:val="24"/>
        </w:rPr>
        <w:t xml:space="preserve">Kroužky při ZŠ se vzhledem ke Covidu nekonaly.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1"/>
        <w:gridCol w:w="3014"/>
        <w:gridCol w:w="3008"/>
      </w:tblGrid>
      <w:tr>
        <w:trPr/>
        <w:tc>
          <w:tcPr>
            <w:tcW w:w="3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kroužku</w:t>
            </w:r>
          </w:p>
        </w:tc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kroužků</w:t>
            </w:r>
          </w:p>
        </w:tc>
        <w:tc>
          <w:tcPr>
            <w:tcW w:w="3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</w:tr>
      <w:tr>
        <w:trPr/>
        <w:tc>
          <w:tcPr>
            <w:tcW w:w="3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jazyky</w:t>
            </w:r>
          </w:p>
        </w:tc>
        <w:tc>
          <w:tcPr>
            <w:tcW w:w="3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Přírodní vědy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Sport, TV, turistika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Umělecké obory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Zdravotní, speciální pedagogika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  <w:bCs/>
        </w:rPr>
      </w:pPr>
      <w:r>
        <w:rPr>
          <w:b/>
        </w:rPr>
        <w:t>8.0</w:t>
      </w:r>
      <w:r>
        <w:rPr>
          <w:b/>
          <w:bCs/>
        </w:rPr>
        <w:t xml:space="preserve"> Podpora školy ze strukturálních fondů  </w:t>
      </w:r>
    </w:p>
    <w:p>
      <w:pPr>
        <w:pStyle w:val="NormalWeb"/>
        <w:jc w:val="center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MAP II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3"/>
        <w:gridCol w:w="6038"/>
      </w:tblGrid>
      <w:tr>
        <w:trPr>
          <w:trHeight w:val="593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Název projektu a registrační číslo projektu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CZ.02.3.68/0.0/0.0/17_047/0011817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Místní akční plán rozvoje vzdělávání ve městě Brně II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</w:r>
          </w:p>
        </w:tc>
      </w:tr>
      <w:tr>
        <w:trPr>
          <w:trHeight w:val="558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Délka trvání projektu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1. 9. 2019 – 31. 8. 2022</w:t>
            </w:r>
          </w:p>
        </w:tc>
      </w:tr>
      <w:tr>
        <w:trPr>
          <w:trHeight w:val="552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Operační program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OP VVV</w:t>
            </w:r>
          </w:p>
        </w:tc>
      </w:tr>
      <w:tr>
        <w:trPr>
          <w:trHeight w:val="559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cs-CZ" w:bidi="ar-SA"/>
              </w:rPr>
              <w:t>Škola</w:t>
            </w:r>
          </w:p>
          <w:p>
            <w:pPr>
              <w:pStyle w:val="NormalWeb"/>
              <w:widowControl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 </w:t>
            </w:r>
            <w:r>
              <w:rPr>
                <w:b/>
                <w:bCs/>
                <w:kern w:val="0"/>
                <w:lang w:val="cs-CZ" w:bidi="ar-SA"/>
              </w:rPr>
              <w:t xml:space="preserve">a) jako žadatel </w:t>
            </w:r>
          </w:p>
          <w:p>
            <w:pPr>
              <w:pStyle w:val="NormalWeb"/>
              <w:widowControl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b) jako partner </w:t>
            </w:r>
          </w:p>
          <w:p>
            <w:pPr>
              <w:pStyle w:val="NormalWeb"/>
              <w:widowControl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>c) jako zapojená škola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c) jako zapojená škola</w:t>
            </w:r>
          </w:p>
        </w:tc>
      </w:tr>
      <w:tr>
        <w:trPr>
          <w:trHeight w:val="554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Celková výše dotace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cs-CZ" w:bidi="ar-SA"/>
              </w:rPr>
              <w:t>35 496 333,60 Kč</w:t>
            </w:r>
          </w:p>
        </w:tc>
      </w:tr>
      <w:tr>
        <w:trPr>
          <w:trHeight w:val="561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Souhlas zřizovatele s uzavřením partnerské sml., datum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nerelevantní</w:t>
            </w:r>
          </w:p>
        </w:tc>
      </w:tr>
      <w:tr>
        <w:trPr>
          <w:trHeight w:val="1139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Stručný popis projektu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Cílem projektu je navázat na úspěšné aktivity předcházejícího projektu MAP Brno a dále je rozvinout. Projekt řeší aktualizaci strategického dokumentu „Místní akční plán rozvoje vzdělávání ve městě Brně“ a jeho cílem je zvyšování kvality předškolního vzdělávání, rozvoj čtenářské a matematické gramotnosti na základních školách a rozvoj potenciálu každého dítěte a žáka. Projekt se také zabývá kvalitou základního uměleckého vzdělávání, vzděláváním v oblasti přírodních věd a polytechniky, vzděláváním nadaných dětí a žáků a podporou talentu.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>Projekt Podpora předškolního a základního vzdělávání ve městě Brně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3"/>
        <w:gridCol w:w="6038"/>
      </w:tblGrid>
      <w:tr>
        <w:trPr>
          <w:trHeight w:val="593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Název projektu a registrační číslo projektu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CZ.02.3.61/0.0/0.0/19_075/0013630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 xml:space="preserve">Podpora předškolního a základního vzdělávání ve městě Brně </w:t>
            </w:r>
          </w:p>
        </w:tc>
      </w:tr>
      <w:tr>
        <w:trPr>
          <w:trHeight w:val="558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Délka trvání projektu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1. 1. 2020 – 31. 12. 2022</w:t>
            </w:r>
          </w:p>
        </w:tc>
      </w:tr>
      <w:tr>
        <w:trPr>
          <w:trHeight w:val="552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Operační program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OP VVV</w:t>
            </w:r>
          </w:p>
        </w:tc>
      </w:tr>
      <w:tr>
        <w:trPr>
          <w:trHeight w:val="559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cs-CZ" w:bidi="ar-SA"/>
              </w:rPr>
              <w:t>Škola</w:t>
            </w:r>
          </w:p>
          <w:p>
            <w:pPr>
              <w:pStyle w:val="NormalWeb"/>
              <w:widowControl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 </w:t>
            </w:r>
            <w:r>
              <w:rPr>
                <w:b/>
                <w:bCs/>
                <w:kern w:val="0"/>
                <w:lang w:val="cs-CZ" w:bidi="ar-SA"/>
              </w:rPr>
              <w:t xml:space="preserve">a) jako žadatel </w:t>
            </w:r>
          </w:p>
          <w:p>
            <w:pPr>
              <w:pStyle w:val="NormalWeb"/>
              <w:widowControl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b) jako partner </w:t>
            </w:r>
          </w:p>
          <w:p>
            <w:pPr>
              <w:pStyle w:val="NormalWeb"/>
              <w:widowControl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cs-CZ" w:bidi="ar-SA"/>
              </w:rPr>
              <w:t>c) jako zapojená škola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 xml:space="preserve">b) jako partner </w:t>
            </w:r>
          </w:p>
        </w:tc>
      </w:tr>
      <w:tr>
        <w:trPr>
          <w:trHeight w:val="554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Celková výše dotace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99 999 561,56 Kč</w:t>
            </w:r>
          </w:p>
        </w:tc>
      </w:tr>
      <w:tr>
        <w:trPr>
          <w:trHeight w:val="561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Souhlas zřizovatele s uzavřením partnerské sml., datum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nerelevantní</w:t>
            </w:r>
          </w:p>
        </w:tc>
      </w:tr>
      <w:tr>
        <w:trPr>
          <w:trHeight w:val="1139" w:hRule="atLeast"/>
        </w:trPr>
        <w:tc>
          <w:tcPr>
            <w:tcW w:w="3023" w:type="dxa"/>
            <w:tcBorders/>
          </w:tcPr>
          <w:p>
            <w:pPr>
              <w:pStyle w:val="NormalWeb"/>
              <w:widowControl/>
              <w:spacing w:before="30" w:after="0"/>
              <w:jc w:val="left"/>
              <w:rPr>
                <w:kern w:val="0"/>
                <w:lang w:val="cs-CZ" w:bidi="ar-SA"/>
              </w:rPr>
            </w:pPr>
            <w:r>
              <w:rPr>
                <w:b/>
                <w:bCs/>
                <w:kern w:val="0"/>
                <w:lang w:val="cs-CZ" w:bidi="ar-SA"/>
              </w:rPr>
              <w:t xml:space="preserve">Stručný popis projektu </w:t>
            </w:r>
          </w:p>
        </w:tc>
        <w:tc>
          <w:tcPr>
            <w:tcW w:w="60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cs-CZ" w:bidi="ar-SA"/>
              </w:rPr>
              <w:t>Cílem projektu je zajistit pokračování úspěšných aktivit projektů „Rovný přístup k předškolnímu vzdělávání ve městě Brně“ a „Prevence školní neúspěšnosti na základních školách ve městě Brně“. Aktivity projektu cílí na zvyšování kvality základního a předškolního vzdělávání ve městě Brně, zapojení co největšího počtu dětí do předškolního vzdělávání a podpora dětí a žáků při přechodu mezi stupni vzdělávání. Projekt dále posiluje odbornost pedagogů partnerských škol a podporuje posílení inkluzivního přístupu ve školách na území Brna.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9.0 Zhodnocení a závěr: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Probíhal projekt Město Brno zvyšuje kvalitu vzdělávání, ve škole v jeho rámci pracovali dva doučovatelé.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Současně škola byla zapojena do projektu Šablony 2019, z něhož především čerpala finanční prostředky na školního psychologa, školního speciálního pedagoga, na další vzdělávání pedagogických pracovníků a na činnosti v MŠ.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Jen částečně nebo přerušovaně jsme spolupracovali se spolky a organizacemi, např. SDH Brno-Bohunice, Městská policie Brno, InBalance Brno, skupina učitelů anglického jazyka a rodilí mluvčí, Věda nás baví z.s., CDV Labyrint, Klub rodičů při ZŠ Vedlejší,…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Daří se stále snižovat počet školních úrazů, ale současně se zvyšuje jejich finanční odškodňování ze strany zdravotních pojišťoven.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Průběh školního roku byl silně ovlivněn pandemií od počátku října do poloviny května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Pro žáky a jejich rodiče jsme uspořádali několik akcí on – line (Desetidenní výzva, Vánoční soutěž, Velikonoční soutěž s účastí vždy 20 – 40 žáků).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Uskutečnily se projekty žáků 9. ročníků a jejich prezentace před publikem.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 době mimo uzavření škol pokračovalo využívání školního hřiště ve výuce i pro veřejnost v odpoledních hodinách.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Zcela přebudován byl kabinet anglického jazyka. Nový nábytek byl zakoupen do školní družiny a do některých učeben I. stupně.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Žádné oddělení ŠD není v kmenové třídě.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Zvyšuje se počet žáků, kteří nezvládají výuku a potřebují asistenta.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Při epidemii koronaviru škola ihned přešla na distanční vzdělávání. Všichni pedagogové pracovali s dětmi v on-line přenosu. Pracovali jsme jakožto MŠ a ZŠ určená pro péči o děti zaměstnanců Integrovaného záchranného systému. Během epidemie jsme řešili 10 případů nedostatečné účasti na on-line výuce. V jednom případě jsme nápravy nedosáhli.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Krátké hodnocení Minimálního preventivního programu za školní rok 2020/2021 </w:t>
      </w:r>
    </w:p>
    <w:p>
      <w:pPr>
        <w:pStyle w:val="Normal"/>
        <w:jc w:val="center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Školní metodik prevence: PhDr. Jana Junková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Mgr. Svatava Jakešová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naší sídlištní škole se v tomto školním roce 2020/2021 učilo ve 28 třídách cca 700 žáků převážně z Bohunic a okolních vesnic.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Podmínky naší výuky a aktivit (zájmové kroužky, mimoškolní akce, preventivní programy, atd.) byly komplikovány dlouhodobou distanční výukou.                                                                                                     Mezi negativa tohoto typu vyučování řadíme ztrátu bezprostředního kontaktu se spolužáky, učiteli a školou jako celkem. Bylo napácháno mnoho škod v sociálním klimatu třídních kolektivů.  Ještě větší škodu spatřujeme v tom, že žáci odvykli škole jako takové, pravidlům, která jsou tu nastavena. Daleko více se uzavřeli do sebe, společnost vrstevníků nahradili svými počítači a mobily. Mnozí se stali na těchto médiích závislými.  Z namátkových dotazů jsme zjistili, že u počítačů a mobilů tráví i v rozvolněných podmínkách, kdy chodíme do školy, většinu volného času, mnohdy dlouho do noci. V hodinách jsou nesoustředění, unavení. Snažili jsme se s třídními učiteli i školní psycholožkou zapracovat na obnovování mezilidských kontaktů, ne u všech dětí se nám to podařilo.                                                   Bude to výzva do příštího školního roku.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Normal"/>
        <w:spacing w:beforeAutospacing="1" w:afterAutospacing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87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87"/>
      </w:tblGrid>
      <w:tr>
        <w:trPr/>
        <w:tc>
          <w:tcPr>
            <w:tcW w:w="187" w:type="dxa"/>
            <w:tcBorders/>
            <w:vAlign w:val="center"/>
          </w:tcPr>
          <w:tbl>
            <w:tblPr>
              <w:tblW w:w="96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96"/>
            </w:tblGrid>
            <w:tr>
              <w:trPr/>
              <w:tc>
                <w:tcPr>
                  <w:tcW w:w="9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Zprávu podává </w:t>
      </w:r>
    </w:p>
    <w:p>
      <w:pPr>
        <w:pStyle w:val="Normal"/>
        <w:rPr/>
      </w:pPr>
      <w:r>
        <w:rPr/>
        <w:t xml:space="preserve">dne 1. 9.  2021 </w:t>
      </w:r>
    </w:p>
    <w:p>
      <w:pPr>
        <w:pStyle w:val="Normal"/>
        <w:rPr/>
      </w:pPr>
      <w:r>
        <w:rPr/>
        <w:t xml:space="preserve">RNDr. Jan Harmata, ředitel školy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1"/>
      <w:numFmt w:val="decimal"/>
      <w:suff w:val="space"/>
      <w:lvlText w:val="%1.8"/>
      <w:lvlJc w:val="left"/>
      <w:pPr>
        <w:tabs>
          <w:tab w:val="num" w:pos="0"/>
        </w:tabs>
        <w:ind w:left="0" w:hanging="0"/>
      </w:pPr>
      <w:rPr>
        <w:i w:val="false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4b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8a4bbf"/>
    <w:pPr>
      <w:keepNext w:val="true"/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al"/>
    <w:next w:val="Normal"/>
    <w:link w:val="Nadpis3Char"/>
    <w:qFormat/>
    <w:rsid w:val="008a4bbf"/>
    <w:pPr>
      <w:keepNext w:val="true"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al"/>
    <w:next w:val="Normal"/>
    <w:link w:val="Nadpis4Char"/>
    <w:qFormat/>
    <w:rsid w:val="008a4bbf"/>
    <w:pPr>
      <w:keepNext w:val="true"/>
      <w:spacing w:before="20" w:after="20"/>
      <w:outlineLvl w:val="3"/>
    </w:pPr>
    <w:rPr>
      <w:b/>
      <w:bCs/>
    </w:rPr>
  </w:style>
  <w:style w:type="paragraph" w:styleId="Nadpis5">
    <w:name w:val="Heading 5"/>
    <w:basedOn w:val="Normal"/>
    <w:next w:val="Normal"/>
    <w:link w:val="Nadpis5Char"/>
    <w:uiPriority w:val="9"/>
    <w:unhideWhenUsed/>
    <w:qFormat/>
    <w:rsid w:val="008a4bbf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8a4bbf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8a4bbf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Nadpis3Char" w:customStyle="1">
    <w:name w:val="Nadpis 3 Char"/>
    <w:basedOn w:val="DefaultParagraphFont"/>
    <w:link w:val="Nadpis3"/>
    <w:qFormat/>
    <w:rsid w:val="008a4bbf"/>
    <w:rPr>
      <w:rFonts w:ascii="Arial" w:hAnsi="Arial" w:eastAsia="Times New Roman" w:cs="Arial"/>
      <w:b/>
      <w:bCs/>
      <w:lang w:eastAsia="cs-CZ"/>
    </w:rPr>
  </w:style>
  <w:style w:type="character" w:styleId="Nadpis4Char" w:customStyle="1">
    <w:name w:val="Nadpis 4 Char"/>
    <w:basedOn w:val="DefaultParagraphFont"/>
    <w:link w:val="Nadpis4"/>
    <w:qFormat/>
    <w:rsid w:val="008a4bbf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8a4bbf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8a4bbf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kladntext3Char" w:customStyle="1">
    <w:name w:val="Základní text 3 Char"/>
    <w:basedOn w:val="DefaultParagraphFont"/>
    <w:link w:val="Zkladntext3"/>
    <w:uiPriority w:val="99"/>
    <w:semiHidden/>
    <w:qFormat/>
    <w:rsid w:val="008a4bbf"/>
    <w:rPr>
      <w:rFonts w:ascii="Times New Roman" w:hAnsi="Times New Roman" w:eastAsia="Times New Roman" w:cs="Times New Roman"/>
      <w:sz w:val="16"/>
      <w:szCs w:val="16"/>
      <w:lang w:eastAsia="cs-CZ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qFormat/>
    <w:rsid w:val="008a4bbf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patChar" w:customStyle="1">
    <w:name w:val="Zápatí Char"/>
    <w:basedOn w:val="DefaultParagraphFont"/>
    <w:link w:val="Zpat"/>
    <w:qFormat/>
    <w:rsid w:val="008a4bbf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8a4bbf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0"/>
      <w:szCs w:val="20"/>
      <w:lang w:eastAsia="cs-CZ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8a4bbf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51f9a"/>
    <w:rPr>
      <w:rFonts w:ascii="Tahoma" w:hAnsi="Tahoma" w:eastAsia="Times New Roman" w:cs="Tahoma"/>
      <w:sz w:val="16"/>
      <w:szCs w:val="16"/>
      <w:lang w:eastAsia="cs-CZ"/>
    </w:rPr>
  </w:style>
  <w:style w:type="character" w:styleId="Internetovodkaz">
    <w:name w:val="Internetový odkaz"/>
    <w:rsid w:val="00051f9a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8a4bbf"/>
    <w:pPr>
      <w:jc w:val="both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oznmkapodarou">
    <w:name w:val="Footnote Text"/>
    <w:basedOn w:val="Normal"/>
    <w:link w:val="TextpoznpodarouChar"/>
    <w:semiHidden/>
    <w:rsid w:val="008a4bbf"/>
    <w:pPr>
      <w:spacing w:before="40" w:after="40"/>
      <w:jc w:val="both"/>
    </w:pPr>
    <w:rPr/>
  </w:style>
  <w:style w:type="paragraph" w:styleId="BodyText3">
    <w:name w:val="Body Text 3"/>
    <w:basedOn w:val="Normal"/>
    <w:link w:val="Zkladntext3Char"/>
    <w:uiPriority w:val="99"/>
    <w:semiHidden/>
    <w:unhideWhenUsed/>
    <w:qFormat/>
    <w:rsid w:val="008a4bbf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Zkladntextodsazen2Char"/>
    <w:uiPriority w:val="99"/>
    <w:unhideWhenUsed/>
    <w:qFormat/>
    <w:rsid w:val="008a4bbf"/>
    <w:pPr>
      <w:spacing w:lineRule="auto" w:line="480" w:before="0" w:after="120"/>
      <w:ind w:left="283" w:hanging="0"/>
    </w:pPr>
    <w:rPr/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rsid w:val="008a4bb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8a4bbf"/>
    <w:pPr>
      <w:spacing w:before="30" w:after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020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51f9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4445b9"/>
    <w:pPr>
      <w:spacing w:after="0" w:line="240" w:lineRule="auto"/>
    </w:pPr>
    <w:rPr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zsvedlejsi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892A-ACF6-4E39-8BE0-9721FFD0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LibreOffice/7.1.5.2$Windows_X86_64 LibreOffice_project/85f04e9f809797b8199d13c421bd8a2b025d52b5</Application>
  <AppVersion>15.0000</AppVersion>
  <Pages>19</Pages>
  <Words>2610</Words>
  <Characters>14323</Characters>
  <CharactersWithSpaces>16811</CharactersWithSpaces>
  <Paragraphs>590</Paragraphs>
  <Company>MMB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2021-08-21T09:27:00Z</dcterms:created>
  <dc:creator>Irena Hudcová</dc:creator>
  <dc:description/>
  <dc:language>cs-CZ</dc:language>
  <cp:lastModifiedBy>jan.harmata</cp:lastModifiedBy>
  <cp:lastPrinted>2019-09-13T10:39:00Z</cp:lastPrinted>
  <dcterms:modified xsi:type="dcterms:W3CDTF">2021-08-31T12:17:00Z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